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C2C1" w14:textId="77777777" w:rsidR="00F419D5" w:rsidRPr="00F419D5" w:rsidRDefault="00F419D5" w:rsidP="00F419D5">
      <w:pPr>
        <w:spacing w:after="60" w:line="240" w:lineRule="auto"/>
        <w:outlineLvl w:val="0"/>
        <w:rPr>
          <w:rFonts w:ascii="Times New Roman" w:eastAsia="Times New Roman" w:hAnsi="Times New Roman" w:cs="Times New Roman"/>
          <w:b/>
          <w:bCs/>
          <w:kern w:val="36"/>
          <w:sz w:val="48"/>
          <w:szCs w:val="48"/>
          <w:lang w:val="et-EE"/>
          <w14:ligatures w14:val="none"/>
        </w:rPr>
      </w:pPr>
      <w:r w:rsidRPr="00F419D5">
        <w:rPr>
          <w:rFonts w:ascii="Calibri" w:eastAsia="Times New Roman" w:hAnsi="Calibri" w:cs="Calibri"/>
          <w:b/>
          <w:bCs/>
          <w:color w:val="000000"/>
          <w:kern w:val="36"/>
          <w:sz w:val="30"/>
          <w:szCs w:val="30"/>
          <w:lang w:val="et-EE"/>
          <w14:ligatures w14:val="none"/>
        </w:rPr>
        <w:t>Turism on majanduskasvu ja regionaalarengu mootor</w:t>
      </w:r>
    </w:p>
    <w:p w14:paraId="38E350E3" w14:textId="77777777" w:rsidR="00F419D5" w:rsidRPr="00F419D5" w:rsidRDefault="00F419D5" w:rsidP="00F419D5">
      <w:pPr>
        <w:spacing w:after="200" w:line="240" w:lineRule="auto"/>
        <w:rPr>
          <w:rFonts w:ascii="Times New Roman" w:eastAsia="Times New Roman" w:hAnsi="Times New Roman" w:cs="Times New Roman"/>
          <w:kern w:val="0"/>
          <w:lang w:val="et-EE"/>
          <w14:ligatures w14:val="none"/>
        </w:rPr>
      </w:pPr>
      <w:r w:rsidRPr="00F419D5">
        <w:rPr>
          <w:rFonts w:ascii="Calibri" w:eastAsia="Times New Roman" w:hAnsi="Calibri" w:cs="Calibri"/>
          <w:i/>
          <w:iCs/>
          <w:color w:val="000000"/>
          <w:kern w:val="0"/>
          <w:lang w:val="et-EE"/>
          <w14:ligatures w14:val="none"/>
        </w:rPr>
        <w:t>Turismisektori ettepanekud Riigikogu valimisteks 2027</w:t>
      </w:r>
    </w:p>
    <w:p w14:paraId="03A2E817" w14:textId="39F9EED3" w:rsidR="00F419D5" w:rsidRPr="00F419D5" w:rsidRDefault="00F419D5" w:rsidP="00F419D5">
      <w:pPr>
        <w:spacing w:after="7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Turismisektor moodustab koos otsese ja kaudse mõjuga Eesti sisemajanduse koguproduktist 7%</w:t>
      </w:r>
      <w:r w:rsidR="00FE092A">
        <w:rPr>
          <w:rStyle w:val="FootnoteReference"/>
          <w:rFonts w:ascii="Calibri" w:eastAsia="Times New Roman" w:hAnsi="Calibri" w:cs="Calibri"/>
          <w:color w:val="000000"/>
          <w:kern w:val="0"/>
          <w:sz w:val="20"/>
          <w:szCs w:val="20"/>
          <w:lang w:val="et-EE"/>
          <w14:ligatures w14:val="none"/>
        </w:rPr>
        <w:footnoteReference w:id="1"/>
      </w:r>
      <w:r w:rsidRPr="00F419D5">
        <w:rPr>
          <w:rFonts w:ascii="Calibri" w:eastAsia="Times New Roman" w:hAnsi="Calibri" w:cs="Calibri"/>
          <w:color w:val="000000"/>
          <w:kern w:val="0"/>
          <w:sz w:val="20"/>
          <w:szCs w:val="20"/>
          <w:lang w:val="et-EE"/>
          <w14:ligatures w14:val="none"/>
        </w:rPr>
        <w:t xml:space="preserve">, teenuste ekspordist 17% ning annab </w:t>
      </w:r>
      <w:r w:rsidR="00C06403">
        <w:rPr>
          <w:rFonts w:ascii="Calibri" w:eastAsia="Times New Roman" w:hAnsi="Calibri" w:cs="Calibri"/>
          <w:color w:val="000000"/>
          <w:kern w:val="0"/>
          <w:sz w:val="20"/>
          <w:szCs w:val="20"/>
          <w:lang w:val="et-EE"/>
          <w14:ligatures w14:val="none"/>
        </w:rPr>
        <w:t xml:space="preserve">Statistikaameti </w:t>
      </w:r>
      <w:r w:rsidR="00C408A7">
        <w:rPr>
          <w:rFonts w:ascii="Calibri" w:eastAsia="Times New Roman" w:hAnsi="Calibri" w:cs="Calibri"/>
          <w:color w:val="000000"/>
          <w:kern w:val="0"/>
          <w:sz w:val="20"/>
          <w:szCs w:val="20"/>
          <w:lang w:val="et-EE"/>
          <w14:ligatures w14:val="none"/>
        </w:rPr>
        <w:t xml:space="preserve">andmetel </w:t>
      </w:r>
      <w:r w:rsidRPr="00F419D5">
        <w:rPr>
          <w:rFonts w:ascii="Calibri" w:eastAsia="Times New Roman" w:hAnsi="Calibri" w:cs="Calibri"/>
          <w:color w:val="000000"/>
          <w:kern w:val="0"/>
          <w:sz w:val="20"/>
          <w:szCs w:val="20"/>
          <w:lang w:val="et-EE"/>
          <w14:ligatures w14:val="none"/>
        </w:rPr>
        <w:t xml:space="preserve">tööd enam kui </w:t>
      </w:r>
      <w:r w:rsidR="006572ED">
        <w:rPr>
          <w:rFonts w:ascii="Calibri" w:eastAsia="Times New Roman" w:hAnsi="Calibri" w:cs="Calibri"/>
          <w:color w:val="000000"/>
          <w:kern w:val="0"/>
          <w:sz w:val="20"/>
          <w:szCs w:val="20"/>
          <w:lang w:val="et-EE"/>
          <w14:ligatures w14:val="none"/>
        </w:rPr>
        <w:t xml:space="preserve">30 </w:t>
      </w:r>
      <w:r w:rsidRPr="00F419D5">
        <w:rPr>
          <w:rFonts w:ascii="Calibri" w:eastAsia="Times New Roman" w:hAnsi="Calibri" w:cs="Calibri"/>
          <w:color w:val="000000"/>
          <w:kern w:val="0"/>
          <w:sz w:val="20"/>
          <w:szCs w:val="20"/>
          <w:lang w:val="et-EE"/>
          <w14:ligatures w14:val="none"/>
        </w:rPr>
        <w:t>000 inimesele. Iga turismisektoris kulutatud euro loob 0,46 eurot käivet teistes sektorites ja igalt külastaja eurolt laekub riigile keskmiselt 33 senti maksutulu. Turism on regionaalpoliitika ja sisejulgeoleku oluline tugisammas: see toob ettevõtluse ja teenused ka väljapoole suuri linnu, hoides Eesti maakohad elujõulised ning tugevdades riigi territoriaalset toimepidevust.</w:t>
      </w:r>
    </w:p>
    <w:p w14:paraId="1BAE62BF" w14:textId="77777777" w:rsidR="00F419D5" w:rsidRPr="00F419D5" w:rsidRDefault="00F419D5" w:rsidP="00F419D5">
      <w:pPr>
        <w:spacing w:after="7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Sektori konkurentsivõime sõltub neljast asjast: õiglasest maksukeskkonnast, paindlikust ja kvalifitseeritud tööjõust, investeeringutest turundusse ja ühendustesse ning atraktiivsest taristust. Ettevõtjatele tuleb luua lihtne ja stabiilne ettevõtluskeskkond, kus halduskoormus on minimaalne ja ettevõtlusreeglid stabiilsed. </w:t>
      </w:r>
    </w:p>
    <w:p w14:paraId="0C0EE932" w14:textId="77777777" w:rsidR="00F419D5" w:rsidRPr="00F419D5" w:rsidRDefault="00F419D5" w:rsidP="00F419D5">
      <w:pPr>
        <w:spacing w:after="7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Käesolev dokument koondab Eesti turismiliitude ja sektori ettevõtjate seisukohad meetmetest, mille rakendamine on Riigikogu pädevuses. </w:t>
      </w:r>
    </w:p>
    <w:p w14:paraId="3314D24C" w14:textId="77777777" w:rsidR="00F419D5" w:rsidRPr="00F419D5" w:rsidRDefault="00F419D5" w:rsidP="00F419D5">
      <w:pPr>
        <w:spacing w:before="160" w:after="60" w:line="240" w:lineRule="auto"/>
        <w:outlineLvl w:val="1"/>
        <w:rPr>
          <w:rFonts w:ascii="Times New Roman" w:eastAsia="Times New Roman" w:hAnsi="Times New Roman" w:cs="Times New Roman"/>
          <w:b/>
          <w:bCs/>
          <w:kern w:val="0"/>
          <w:sz w:val="36"/>
          <w:szCs w:val="36"/>
          <w:lang w:val="et-EE"/>
          <w14:ligatures w14:val="none"/>
        </w:rPr>
      </w:pPr>
      <w:r w:rsidRPr="00F419D5">
        <w:rPr>
          <w:rFonts w:ascii="Calibri" w:eastAsia="Times New Roman" w:hAnsi="Calibri" w:cs="Calibri"/>
          <w:b/>
          <w:bCs/>
          <w:color w:val="000000"/>
          <w:kern w:val="0"/>
          <w:lang w:val="et-EE"/>
          <w14:ligatures w14:val="none"/>
        </w:rPr>
        <w:t>1. Konkurentsivõimeline maksu- ja õigussüsteem</w:t>
      </w:r>
    </w:p>
    <w:p w14:paraId="40D46AC0" w14:textId="77777777" w:rsidR="00F419D5" w:rsidRPr="00F419D5" w:rsidRDefault="00F419D5" w:rsidP="00F419D5">
      <w:pPr>
        <w:spacing w:after="5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Turismi- ja toitlustussektori konkurentsivõime on otseses seoses maksukeskkonnaga. Eesti toitlustusettevõtted on jõudnud kriitilisse punkti: kogukasum on kukkunud 65%, puhaskasumimarginaal 4%-lt 1,4%-ni. Samal ajal jääb reguleerimata lühiajalise majutusturu tõttu riigil saamata hinnanguliselt 50 miljonit eurot maksutulu aastas. Sektori maksukeskkond vajab kohandamist Euroopa tasemele ja konkurentsivõime taastamist.</w:t>
      </w:r>
    </w:p>
    <w:p w14:paraId="301029FB" w14:textId="157B9048" w:rsidR="00F419D5" w:rsidRPr="004A614F" w:rsidRDefault="00F419D5" w:rsidP="004A614F">
      <w:pPr>
        <w:pStyle w:val="ListParagraph"/>
        <w:numPr>
          <w:ilvl w:val="1"/>
          <w:numId w:val="1"/>
        </w:numPr>
        <w:spacing w:before="60" w:after="15" w:line="240" w:lineRule="auto"/>
        <w:rPr>
          <w:rFonts w:ascii="Times New Roman" w:eastAsia="Times New Roman" w:hAnsi="Times New Roman" w:cs="Times New Roman"/>
          <w:kern w:val="0"/>
          <w:lang w:val="et-EE"/>
          <w14:ligatures w14:val="none"/>
        </w:rPr>
      </w:pPr>
      <w:r w:rsidRPr="004A614F">
        <w:rPr>
          <w:rFonts w:ascii="Calibri" w:eastAsia="Times New Roman" w:hAnsi="Calibri" w:cs="Calibri"/>
          <w:b/>
          <w:bCs/>
          <w:color w:val="000000"/>
          <w:kern w:val="0"/>
          <w:sz w:val="20"/>
          <w:szCs w:val="20"/>
          <w:lang w:val="et-EE"/>
          <w14:ligatures w14:val="none"/>
        </w:rPr>
        <w:t>Alandada toitlustusteenuse käibemaks 24%-lt 13%-le.</w:t>
      </w:r>
    </w:p>
    <w:p w14:paraId="7727610A" w14:textId="4C6493DF" w:rsidR="00F419D5" w:rsidRPr="004A614F" w:rsidRDefault="00780981" w:rsidP="004A614F">
      <w:pPr>
        <w:spacing w:after="40" w:line="240" w:lineRule="auto"/>
        <w:jc w:val="both"/>
        <w:rPr>
          <w:rFonts w:ascii="Times New Roman" w:eastAsia="Times New Roman" w:hAnsi="Times New Roman" w:cs="Times New Roman"/>
          <w:kern w:val="0"/>
          <w:lang w:val="et-EE"/>
          <w14:ligatures w14:val="none"/>
        </w:rPr>
      </w:pPr>
      <w:r w:rsidRPr="004A614F">
        <w:rPr>
          <w:rFonts w:ascii="Calibri" w:eastAsia="Times New Roman" w:hAnsi="Calibri" w:cs="Calibri"/>
          <w:color w:val="000000"/>
          <w:kern w:val="0"/>
          <w:sz w:val="20"/>
          <w:szCs w:val="20"/>
          <w:lang w:val="et-EE"/>
          <w14:ligatures w14:val="none"/>
        </w:rPr>
        <w:t>Eesti</w:t>
      </w:r>
      <w:r w:rsidR="00884BDD">
        <w:rPr>
          <w:rFonts w:ascii="Calibri" w:eastAsia="Times New Roman" w:hAnsi="Calibri" w:cs="Calibri"/>
          <w:color w:val="000000"/>
          <w:kern w:val="0"/>
          <w:sz w:val="20"/>
          <w:szCs w:val="20"/>
          <w:lang w:val="et-EE"/>
          <w14:ligatures w14:val="none"/>
        </w:rPr>
        <w:t>s kehtib toitlustusteenusele</w:t>
      </w:r>
      <w:r w:rsidRPr="004A614F">
        <w:rPr>
          <w:rFonts w:ascii="Calibri" w:eastAsia="Times New Roman" w:hAnsi="Calibri" w:cs="Calibri"/>
          <w:color w:val="000000"/>
          <w:kern w:val="0"/>
          <w:sz w:val="20"/>
          <w:szCs w:val="20"/>
          <w:lang w:val="et-EE"/>
          <w14:ligatures w14:val="none"/>
        </w:rPr>
        <w:t xml:space="preserve"> 24%</w:t>
      </w:r>
      <w:r w:rsidR="00884BDD">
        <w:rPr>
          <w:rFonts w:ascii="Calibri" w:eastAsia="Times New Roman" w:hAnsi="Calibri" w:cs="Calibri"/>
          <w:color w:val="000000"/>
          <w:kern w:val="0"/>
          <w:sz w:val="20"/>
          <w:szCs w:val="20"/>
          <w:lang w:val="et-EE"/>
          <w14:ligatures w14:val="none"/>
        </w:rPr>
        <w:t>, mis</w:t>
      </w:r>
      <w:r w:rsidRPr="004A614F">
        <w:rPr>
          <w:rFonts w:ascii="Calibri" w:eastAsia="Times New Roman" w:hAnsi="Calibri" w:cs="Calibri"/>
          <w:color w:val="000000"/>
          <w:kern w:val="0"/>
          <w:sz w:val="20"/>
          <w:szCs w:val="20"/>
          <w:lang w:val="et-EE"/>
          <w14:ligatures w14:val="none"/>
        </w:rPr>
        <w:t xml:space="preserve"> on Euroopa Liidu teine kõrgeim üldmäär ja eraldi soodusmäära toitlustusele </w:t>
      </w:r>
      <w:r w:rsidR="0010374F">
        <w:rPr>
          <w:rFonts w:ascii="Calibri" w:eastAsia="Times New Roman" w:hAnsi="Calibri" w:cs="Calibri"/>
          <w:color w:val="000000"/>
          <w:kern w:val="0"/>
          <w:sz w:val="20"/>
          <w:szCs w:val="20"/>
          <w:lang w:val="et-EE"/>
          <w14:ligatures w14:val="none"/>
        </w:rPr>
        <w:t>p</w:t>
      </w:r>
      <w:r w:rsidRPr="004A614F">
        <w:rPr>
          <w:rFonts w:ascii="Calibri" w:eastAsia="Times New Roman" w:hAnsi="Calibri" w:cs="Calibri"/>
          <w:color w:val="000000"/>
          <w:kern w:val="0"/>
          <w:sz w:val="20"/>
          <w:szCs w:val="20"/>
          <w:lang w:val="et-EE"/>
          <w14:ligatures w14:val="none"/>
        </w:rPr>
        <w:t xml:space="preserve">ole. EL keskmine toitlustusele rakendatav käibemaks on 11%; Saksamaa alandas selle 2026. aastast 19%-lt 7%-le just sektori toetamiseks. Käibemaksu alandamine elavdaks majandust, taastaks Eesti toitlustussektori konkurentsivõime, säilitaks ligi 20 000 töökohta ja vähendaks noorte tööpuudust. Ühtlasi hoiaks see alal Eesti köögi rahvusvahelise nähtavuse, sealhulgas Michelini giidi huvi Eesti turu vastu, ning toetaks kogu tarneahelat </w:t>
      </w:r>
      <w:r w:rsidR="0010374F">
        <w:rPr>
          <w:rFonts w:ascii="Calibri" w:eastAsia="Times New Roman" w:hAnsi="Calibri" w:cs="Calibri"/>
          <w:color w:val="000000"/>
          <w:kern w:val="0"/>
          <w:sz w:val="20"/>
          <w:szCs w:val="20"/>
          <w:lang w:val="et-EE"/>
          <w14:ligatures w14:val="none"/>
        </w:rPr>
        <w:t>(</w:t>
      </w:r>
      <w:r w:rsidRPr="004A614F">
        <w:rPr>
          <w:rFonts w:ascii="Calibri" w:eastAsia="Times New Roman" w:hAnsi="Calibri" w:cs="Calibri"/>
          <w:color w:val="000000"/>
          <w:kern w:val="0"/>
          <w:sz w:val="20"/>
          <w:szCs w:val="20"/>
          <w:lang w:val="et-EE"/>
          <w14:ligatures w14:val="none"/>
        </w:rPr>
        <w:t>talunikke, kalureid, väiketootjaid, õlle- ja veinitootjaid, pagareid, logistikuid jt</w:t>
      </w:r>
      <w:r w:rsidR="0010374F">
        <w:rPr>
          <w:rFonts w:ascii="Calibri" w:eastAsia="Times New Roman" w:hAnsi="Calibri" w:cs="Calibri"/>
          <w:color w:val="000000"/>
          <w:kern w:val="0"/>
          <w:sz w:val="20"/>
          <w:szCs w:val="20"/>
          <w:lang w:val="et-EE"/>
          <w14:ligatures w14:val="none"/>
        </w:rPr>
        <w:t>)</w:t>
      </w:r>
      <w:r w:rsidRPr="004A614F">
        <w:rPr>
          <w:rFonts w:ascii="Calibri" w:eastAsia="Times New Roman" w:hAnsi="Calibri" w:cs="Calibri"/>
          <w:color w:val="000000"/>
          <w:kern w:val="0"/>
          <w:sz w:val="20"/>
          <w:szCs w:val="20"/>
          <w:lang w:val="et-EE"/>
          <w14:ligatures w14:val="none"/>
        </w:rPr>
        <w:t>, kelle elujõud sõltub otseselt toitlustussektori käekäigust.</w:t>
      </w:r>
    </w:p>
    <w:p w14:paraId="3CC2BB30" w14:textId="1E127C7F" w:rsidR="00F419D5" w:rsidRPr="004A614F" w:rsidRDefault="00F419D5" w:rsidP="004A614F">
      <w:pPr>
        <w:pStyle w:val="ListParagraph"/>
        <w:numPr>
          <w:ilvl w:val="1"/>
          <w:numId w:val="1"/>
        </w:numPr>
        <w:spacing w:before="60" w:after="15" w:line="240" w:lineRule="auto"/>
        <w:rPr>
          <w:rFonts w:ascii="Times New Roman" w:eastAsia="Times New Roman" w:hAnsi="Times New Roman" w:cs="Times New Roman"/>
          <w:kern w:val="0"/>
          <w:lang w:val="et-EE"/>
          <w14:ligatures w14:val="none"/>
        </w:rPr>
      </w:pPr>
      <w:r w:rsidRPr="004A614F">
        <w:rPr>
          <w:rFonts w:ascii="Calibri" w:eastAsia="Times New Roman" w:hAnsi="Calibri" w:cs="Calibri"/>
          <w:b/>
          <w:bCs/>
          <w:color w:val="000000"/>
          <w:kern w:val="0"/>
          <w:sz w:val="20"/>
          <w:szCs w:val="20"/>
          <w:lang w:val="et-EE"/>
          <w14:ligatures w14:val="none"/>
        </w:rPr>
        <w:t>Säilitada majutusteenuse vähendatud käibemaksumäär.</w:t>
      </w:r>
    </w:p>
    <w:p w14:paraId="1593F256" w14:textId="77777777" w:rsidR="00F419D5" w:rsidRPr="00F419D5" w:rsidRDefault="00F419D5" w:rsidP="00F419D5">
      <w:pPr>
        <w:spacing w:before="60" w:after="15" w:line="240" w:lineRule="auto"/>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Tegemist ei ole soodustusega, vaid haldusliku lihtsustamisega: turistide majutus on oma olemuselt eksport (0% käibemaks), kuid turistide ja kohalike eristamise asemel kehtib kogu majutusele üks madalam määr. </w:t>
      </w:r>
    </w:p>
    <w:p w14:paraId="67C4952C" w14:textId="320F74AB" w:rsidR="00F419D5" w:rsidRPr="004A614F" w:rsidRDefault="00F419D5" w:rsidP="004A614F">
      <w:pPr>
        <w:pStyle w:val="ListParagraph"/>
        <w:numPr>
          <w:ilvl w:val="1"/>
          <w:numId w:val="1"/>
        </w:numPr>
        <w:spacing w:before="60" w:after="15" w:line="240" w:lineRule="auto"/>
        <w:rPr>
          <w:rFonts w:ascii="Times New Roman" w:eastAsia="Times New Roman" w:hAnsi="Times New Roman" w:cs="Times New Roman"/>
          <w:kern w:val="0"/>
          <w:lang w:val="et-EE"/>
          <w14:ligatures w14:val="none"/>
        </w:rPr>
      </w:pPr>
      <w:r w:rsidRPr="004A614F">
        <w:rPr>
          <w:rFonts w:ascii="Calibri" w:eastAsia="Times New Roman" w:hAnsi="Calibri" w:cs="Calibri"/>
          <w:b/>
          <w:bCs/>
          <w:color w:val="000000"/>
          <w:kern w:val="0"/>
          <w:sz w:val="20"/>
          <w:szCs w:val="20"/>
          <w:lang w:val="et-EE"/>
          <w14:ligatures w14:val="none"/>
        </w:rPr>
        <w:t>Kehtestada lühiajalisele üürimajutusele selge õiguslik raamistik.</w:t>
      </w:r>
    </w:p>
    <w:p w14:paraId="7B9BA135" w14:textId="4989C194"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Lühiajaline üürimajutus kasvab kiiremini kui ametlik majutus</w:t>
      </w:r>
      <w:r>
        <w:rPr>
          <w:rFonts w:ascii="Calibri" w:eastAsia="Times New Roman" w:hAnsi="Calibri" w:cs="Calibri"/>
          <w:color w:val="000000"/>
          <w:kern w:val="0"/>
          <w:sz w:val="20"/>
          <w:szCs w:val="20"/>
          <w:lang w:val="et-EE"/>
          <w14:ligatures w14:val="none"/>
        </w:rPr>
        <w:t xml:space="preserve">. Näiteks </w:t>
      </w:r>
      <w:r w:rsidRPr="00F419D5">
        <w:rPr>
          <w:rFonts w:ascii="Calibri" w:eastAsia="Times New Roman" w:hAnsi="Calibri" w:cs="Calibri"/>
          <w:color w:val="000000"/>
          <w:kern w:val="0"/>
          <w:sz w:val="20"/>
          <w:szCs w:val="20"/>
          <w:lang w:val="et-EE"/>
          <w14:ligatures w14:val="none"/>
        </w:rPr>
        <w:t>Tallinnas</w:t>
      </w:r>
      <w:r>
        <w:rPr>
          <w:rFonts w:ascii="Calibri" w:eastAsia="Times New Roman" w:hAnsi="Calibri" w:cs="Calibri"/>
          <w:color w:val="000000"/>
          <w:kern w:val="0"/>
          <w:sz w:val="20"/>
          <w:szCs w:val="20"/>
          <w:lang w:val="et-EE"/>
          <w14:ligatures w14:val="none"/>
        </w:rPr>
        <w:t xml:space="preserve"> moodustab see</w:t>
      </w:r>
      <w:r w:rsidRPr="00F419D5">
        <w:rPr>
          <w:rFonts w:ascii="Calibri" w:eastAsia="Times New Roman" w:hAnsi="Calibri" w:cs="Calibri"/>
          <w:color w:val="000000"/>
          <w:kern w:val="0"/>
          <w:sz w:val="20"/>
          <w:szCs w:val="20"/>
          <w:lang w:val="et-EE"/>
          <w14:ligatures w14:val="none"/>
        </w:rPr>
        <w:t xml:space="preserve"> ligi 20% kogu majutusmahust, kuid tegutseb väljaspool hotellindusele kehtivaid nõudeid, järelevalvet ja maksukohustusi. Vajalik on majutusteenuse seaduslik defineerimine, üleriigiline majutusüksuste register, külaliste registreerimise ja statistika esitamise kohustus alates esimesest voodikohast, online-platvormide kohustus kontrollida registreerimisnumbrit ning kohalike omavalitsuste otsustusõiguse laiendamine.</w:t>
      </w:r>
      <w:r w:rsidR="008C1E04">
        <w:rPr>
          <w:rFonts w:ascii="Calibri" w:eastAsia="Times New Roman" w:hAnsi="Calibri" w:cs="Calibri"/>
          <w:color w:val="000000"/>
          <w:kern w:val="0"/>
          <w:sz w:val="20"/>
          <w:szCs w:val="20"/>
          <w:lang w:val="et-EE"/>
          <w14:ligatures w14:val="none"/>
        </w:rPr>
        <w:t xml:space="preserve"> </w:t>
      </w:r>
      <w:r w:rsidR="008C1E04" w:rsidRPr="008C1E04">
        <w:rPr>
          <w:rFonts w:ascii="Calibri" w:eastAsia="Times New Roman" w:hAnsi="Calibri" w:cs="Calibri"/>
          <w:color w:val="000000"/>
          <w:kern w:val="0"/>
          <w:sz w:val="20"/>
          <w:szCs w:val="20"/>
          <w:lang w:val="et-EE"/>
          <w14:ligatures w14:val="none"/>
        </w:rPr>
        <w:t xml:space="preserve">Reeglistamine elavdaks majandust ja tugevdaks sisejulgeolekut: tooks riigieelarvesse </w:t>
      </w:r>
      <w:r w:rsidR="00521B15">
        <w:rPr>
          <w:rFonts w:ascii="Calibri" w:eastAsia="Times New Roman" w:hAnsi="Calibri" w:cs="Calibri"/>
          <w:color w:val="000000"/>
          <w:kern w:val="0"/>
          <w:sz w:val="20"/>
          <w:szCs w:val="20"/>
          <w:lang w:val="et-EE"/>
          <w14:ligatures w14:val="none"/>
        </w:rPr>
        <w:t>täiendava</w:t>
      </w:r>
      <w:r w:rsidR="008C1E04" w:rsidRPr="008C1E04">
        <w:rPr>
          <w:rFonts w:ascii="Calibri" w:eastAsia="Times New Roman" w:hAnsi="Calibri" w:cs="Calibri"/>
          <w:color w:val="000000"/>
          <w:kern w:val="0"/>
          <w:sz w:val="20"/>
          <w:szCs w:val="20"/>
          <w:lang w:val="et-EE"/>
          <w14:ligatures w14:val="none"/>
        </w:rPr>
        <w:t xml:space="preserve"> maksutulu, annaks riigile ülevaate Eestis viibivatest külalistest ning usaldusväärsed andmed turismi planeerimiseks.</w:t>
      </w:r>
    </w:p>
    <w:p w14:paraId="1C84617F" w14:textId="77777777" w:rsidR="00F419D5" w:rsidRPr="00F419D5" w:rsidRDefault="00F419D5" w:rsidP="00F419D5">
      <w:pPr>
        <w:spacing w:before="160" w:after="60" w:line="240" w:lineRule="auto"/>
        <w:outlineLvl w:val="1"/>
        <w:rPr>
          <w:rFonts w:ascii="Times New Roman" w:eastAsia="Times New Roman" w:hAnsi="Times New Roman" w:cs="Times New Roman"/>
          <w:b/>
          <w:bCs/>
          <w:kern w:val="0"/>
          <w:sz w:val="36"/>
          <w:szCs w:val="36"/>
          <w:lang w:val="et-EE"/>
          <w14:ligatures w14:val="none"/>
        </w:rPr>
      </w:pPr>
      <w:r w:rsidRPr="00F419D5">
        <w:rPr>
          <w:rFonts w:ascii="Calibri" w:eastAsia="Times New Roman" w:hAnsi="Calibri" w:cs="Calibri"/>
          <w:b/>
          <w:bCs/>
          <w:color w:val="000000"/>
          <w:kern w:val="0"/>
          <w:lang w:val="et-EE"/>
          <w14:ligatures w14:val="none"/>
        </w:rPr>
        <w:t>2. Kvaliteetne ja paindlik tööjõud</w:t>
      </w:r>
    </w:p>
    <w:p w14:paraId="1D9D06B4" w14:textId="33056390" w:rsidR="00F419D5" w:rsidRPr="00F419D5" w:rsidRDefault="006446B6" w:rsidP="00F419D5">
      <w:pPr>
        <w:spacing w:after="50" w:line="240" w:lineRule="auto"/>
        <w:jc w:val="both"/>
        <w:rPr>
          <w:rFonts w:ascii="Times New Roman" w:eastAsia="Times New Roman" w:hAnsi="Times New Roman" w:cs="Times New Roman"/>
          <w:kern w:val="0"/>
          <w:lang w:val="et-EE"/>
          <w14:ligatures w14:val="none"/>
        </w:rPr>
      </w:pPr>
      <w:r>
        <w:rPr>
          <w:rFonts w:ascii="Calibri" w:eastAsia="Times New Roman" w:hAnsi="Calibri" w:cs="Calibri"/>
          <w:color w:val="000000"/>
          <w:kern w:val="0"/>
          <w:sz w:val="20"/>
          <w:szCs w:val="20"/>
          <w:lang w:val="et-EE"/>
          <w14:ligatures w14:val="none"/>
        </w:rPr>
        <w:t>Tur</w:t>
      </w:r>
      <w:r w:rsidR="00384134">
        <w:rPr>
          <w:rFonts w:ascii="Calibri" w:eastAsia="Times New Roman" w:hAnsi="Calibri" w:cs="Calibri"/>
          <w:color w:val="000000"/>
          <w:kern w:val="0"/>
          <w:sz w:val="20"/>
          <w:szCs w:val="20"/>
          <w:lang w:val="et-EE"/>
          <w14:ligatures w14:val="none"/>
        </w:rPr>
        <w:t>i</w:t>
      </w:r>
      <w:r>
        <w:rPr>
          <w:rFonts w:ascii="Calibri" w:eastAsia="Times New Roman" w:hAnsi="Calibri" w:cs="Calibri"/>
          <w:color w:val="000000"/>
          <w:kern w:val="0"/>
          <w:sz w:val="20"/>
          <w:szCs w:val="20"/>
          <w:lang w:val="et-EE"/>
          <w14:ligatures w14:val="none"/>
        </w:rPr>
        <w:t>smi</w:t>
      </w:r>
      <w:r w:rsidR="00F419D5" w:rsidRPr="00F419D5">
        <w:rPr>
          <w:rFonts w:ascii="Calibri" w:eastAsia="Times New Roman" w:hAnsi="Calibri" w:cs="Calibri"/>
          <w:color w:val="000000"/>
          <w:kern w:val="0"/>
          <w:sz w:val="20"/>
          <w:szCs w:val="20"/>
          <w:lang w:val="et-EE"/>
          <w14:ligatures w14:val="none"/>
        </w:rPr>
        <w:t>sektor on üks Eesti suuremaid teenindussektori tööandjaid (~</w:t>
      </w:r>
      <w:r w:rsidR="00743AE5">
        <w:rPr>
          <w:rFonts w:ascii="Calibri" w:eastAsia="Times New Roman" w:hAnsi="Calibri" w:cs="Calibri"/>
          <w:color w:val="000000"/>
          <w:kern w:val="0"/>
          <w:sz w:val="20"/>
          <w:szCs w:val="20"/>
          <w:lang w:val="et-EE"/>
          <w14:ligatures w14:val="none"/>
        </w:rPr>
        <w:t>30</w:t>
      </w:r>
      <w:r w:rsidR="00F419D5" w:rsidRPr="00F419D5">
        <w:rPr>
          <w:rFonts w:ascii="Calibri" w:eastAsia="Times New Roman" w:hAnsi="Calibri" w:cs="Calibri"/>
          <w:color w:val="000000"/>
          <w:kern w:val="0"/>
          <w:sz w:val="20"/>
          <w:szCs w:val="20"/>
          <w:lang w:val="et-EE"/>
          <w14:ligatures w14:val="none"/>
        </w:rPr>
        <w:t xml:space="preserve"> 000 töötajat). Töö iseloom toob kaasa kõrge voolavuse ning kohalik töötaja valib üha enam teisi sektoreid. Ukraina sõjapõgenikud, kes on viimastel aastatel olnud sektori jaoks olulised, hakkavad naasma kodumaale. Sektor vajab korraga välismaalt täiendavat tööjõudu ning kohalikku tugevamat kutseharidust.</w:t>
      </w:r>
    </w:p>
    <w:p w14:paraId="2C16D865" w14:textId="6626C806"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2.1. </w:t>
      </w:r>
      <w:r w:rsidR="00F419D5" w:rsidRPr="00F419D5">
        <w:rPr>
          <w:rFonts w:ascii="Calibri" w:eastAsia="Times New Roman" w:hAnsi="Calibri" w:cs="Calibri"/>
          <w:b/>
          <w:bCs/>
          <w:color w:val="000000"/>
          <w:kern w:val="0"/>
          <w:sz w:val="20"/>
          <w:szCs w:val="20"/>
          <w:lang w:val="et-EE"/>
          <w14:ligatures w14:val="none"/>
        </w:rPr>
        <w:t>Muuta välismaalaste seadust majutus- ja toitlustussektori tööjõu tagamiseks.</w:t>
      </w:r>
    </w:p>
    <w:p w14:paraId="03786C98"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lastRenderedPageBreak/>
        <w:t>Lubada sektori tööandjatel värvata kolmandate riikide kodanikke 3-aastase tähtajalise elamisloa alusel väljaspool sisserände piirarvu töölepingu olemasolul. Elamisloa pikendamise tingimused saab siduda eesti keele omandamise ja kohanemisega, mis annab tööandjale mõtte töötajat koolitada ja töötajale aega kohaneda.</w:t>
      </w:r>
    </w:p>
    <w:p w14:paraId="3DEAA4C9" w14:textId="053377F7"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2.2. </w:t>
      </w:r>
      <w:r w:rsidR="00F419D5" w:rsidRPr="00F419D5">
        <w:rPr>
          <w:rFonts w:ascii="Calibri" w:eastAsia="Times New Roman" w:hAnsi="Calibri" w:cs="Calibri"/>
          <w:b/>
          <w:bCs/>
          <w:color w:val="000000"/>
          <w:kern w:val="0"/>
          <w:sz w:val="20"/>
          <w:szCs w:val="20"/>
          <w:lang w:val="et-EE"/>
          <w14:ligatures w14:val="none"/>
        </w:rPr>
        <w:t xml:space="preserve">Siduda </w:t>
      </w:r>
      <w:r w:rsidR="0077761B">
        <w:rPr>
          <w:rFonts w:ascii="Calibri" w:eastAsia="Times New Roman" w:hAnsi="Calibri" w:cs="Calibri"/>
          <w:b/>
          <w:bCs/>
          <w:color w:val="000000"/>
          <w:kern w:val="0"/>
          <w:sz w:val="20"/>
          <w:szCs w:val="20"/>
          <w:lang w:val="et-EE"/>
          <w14:ligatures w14:val="none"/>
        </w:rPr>
        <w:t>turismi</w:t>
      </w:r>
      <w:r w:rsidR="00F419D5" w:rsidRPr="00F419D5">
        <w:rPr>
          <w:rFonts w:ascii="Calibri" w:eastAsia="Times New Roman" w:hAnsi="Calibri" w:cs="Calibri"/>
          <w:b/>
          <w:bCs/>
          <w:color w:val="000000"/>
          <w:kern w:val="0"/>
          <w:sz w:val="20"/>
          <w:szCs w:val="20"/>
          <w:lang w:val="et-EE"/>
          <w14:ligatures w14:val="none"/>
        </w:rPr>
        <w:t>haridus</w:t>
      </w:r>
      <w:r w:rsidR="00740D14">
        <w:rPr>
          <w:rFonts w:ascii="Calibri" w:eastAsia="Times New Roman" w:hAnsi="Calibri" w:cs="Calibri"/>
          <w:b/>
          <w:bCs/>
          <w:color w:val="000000"/>
          <w:kern w:val="0"/>
          <w:sz w:val="20"/>
          <w:szCs w:val="20"/>
          <w:lang w:val="et-EE"/>
          <w14:ligatures w14:val="none"/>
        </w:rPr>
        <w:t>, sh kutseharidus,</w:t>
      </w:r>
      <w:r w:rsidR="00EF4434">
        <w:rPr>
          <w:rFonts w:ascii="Calibri" w:eastAsia="Times New Roman" w:hAnsi="Calibri" w:cs="Calibri"/>
          <w:b/>
          <w:bCs/>
          <w:color w:val="000000"/>
          <w:kern w:val="0"/>
          <w:sz w:val="20"/>
          <w:szCs w:val="20"/>
          <w:lang w:val="et-EE"/>
          <w14:ligatures w14:val="none"/>
        </w:rPr>
        <w:t xml:space="preserve"> ettevõtjate vajadustega</w:t>
      </w:r>
      <w:r w:rsidR="00F419D5" w:rsidRPr="00F419D5">
        <w:rPr>
          <w:rFonts w:ascii="Calibri" w:eastAsia="Times New Roman" w:hAnsi="Calibri" w:cs="Calibri"/>
          <w:b/>
          <w:bCs/>
          <w:color w:val="000000"/>
          <w:kern w:val="0"/>
          <w:sz w:val="20"/>
          <w:szCs w:val="20"/>
          <w:lang w:val="et-EE"/>
          <w14:ligatures w14:val="none"/>
        </w:rPr>
        <w:t>.</w:t>
      </w:r>
    </w:p>
    <w:p w14:paraId="6DC09B3E" w14:textId="2D18D54A" w:rsidR="00F419D5" w:rsidRPr="00F419D5" w:rsidRDefault="00417EA8" w:rsidP="00F419D5">
      <w:pPr>
        <w:spacing w:after="40" w:line="240" w:lineRule="auto"/>
        <w:jc w:val="both"/>
        <w:rPr>
          <w:rFonts w:ascii="Times New Roman" w:eastAsia="Times New Roman" w:hAnsi="Times New Roman" w:cs="Times New Roman"/>
          <w:kern w:val="0"/>
          <w:lang w:val="et-EE"/>
          <w14:ligatures w14:val="none"/>
        </w:rPr>
      </w:pPr>
      <w:r w:rsidRPr="00417EA8">
        <w:rPr>
          <w:rFonts w:ascii="Calibri" w:eastAsia="Times New Roman" w:hAnsi="Calibri" w:cs="Calibri"/>
          <w:color w:val="000000"/>
          <w:kern w:val="0"/>
          <w:sz w:val="20"/>
          <w:szCs w:val="20"/>
          <w:lang w:val="et-EE"/>
          <w14:ligatures w14:val="none"/>
        </w:rPr>
        <w:t xml:space="preserve">Turismiharidust tuleb uuendada koostöös ettevõtjatega, et õppekavad vastaksid </w:t>
      </w:r>
      <w:r w:rsidR="0077761B">
        <w:rPr>
          <w:rFonts w:ascii="Calibri" w:eastAsia="Times New Roman" w:hAnsi="Calibri" w:cs="Calibri"/>
          <w:color w:val="000000"/>
          <w:kern w:val="0"/>
          <w:sz w:val="20"/>
          <w:szCs w:val="20"/>
          <w:lang w:val="et-EE"/>
          <w14:ligatures w14:val="none"/>
        </w:rPr>
        <w:t>paindlikult</w:t>
      </w:r>
      <w:r w:rsidR="004A614F">
        <w:rPr>
          <w:rFonts w:ascii="Calibri" w:eastAsia="Times New Roman" w:hAnsi="Calibri" w:cs="Calibri"/>
          <w:color w:val="000000"/>
          <w:kern w:val="0"/>
          <w:sz w:val="20"/>
          <w:szCs w:val="20"/>
          <w:lang w:val="et-EE"/>
          <w14:ligatures w14:val="none"/>
        </w:rPr>
        <w:t xml:space="preserve"> ja kiirelt</w:t>
      </w:r>
      <w:r w:rsidR="0077761B">
        <w:rPr>
          <w:rFonts w:ascii="Calibri" w:eastAsia="Times New Roman" w:hAnsi="Calibri" w:cs="Calibri"/>
          <w:color w:val="000000"/>
          <w:kern w:val="0"/>
          <w:sz w:val="20"/>
          <w:szCs w:val="20"/>
          <w:lang w:val="et-EE"/>
          <w14:ligatures w14:val="none"/>
        </w:rPr>
        <w:t xml:space="preserve"> </w:t>
      </w:r>
      <w:r w:rsidRPr="00417EA8">
        <w:rPr>
          <w:rFonts w:ascii="Calibri" w:eastAsia="Times New Roman" w:hAnsi="Calibri" w:cs="Calibri"/>
          <w:color w:val="000000"/>
          <w:kern w:val="0"/>
          <w:sz w:val="20"/>
          <w:szCs w:val="20"/>
          <w:lang w:val="et-EE"/>
          <w14:ligatures w14:val="none"/>
        </w:rPr>
        <w:t>tööturu ootustele ning toetaksid nii juhtimisoskuste, digivõimekuse, müügi- ja teeninduspädevuste kui ka rahvusvahelise konkurentsivõime kasvu.</w:t>
      </w:r>
    </w:p>
    <w:p w14:paraId="11108CC4" w14:textId="77777777" w:rsidR="00F419D5" w:rsidRPr="00F419D5" w:rsidRDefault="00F419D5" w:rsidP="00F419D5">
      <w:pPr>
        <w:spacing w:before="160" w:after="60" w:line="240" w:lineRule="auto"/>
        <w:outlineLvl w:val="1"/>
        <w:rPr>
          <w:rFonts w:ascii="Times New Roman" w:eastAsia="Times New Roman" w:hAnsi="Times New Roman" w:cs="Times New Roman"/>
          <w:b/>
          <w:bCs/>
          <w:kern w:val="0"/>
          <w:sz w:val="36"/>
          <w:szCs w:val="36"/>
          <w:lang w:val="et-EE"/>
          <w14:ligatures w14:val="none"/>
        </w:rPr>
      </w:pPr>
      <w:r w:rsidRPr="00F419D5">
        <w:rPr>
          <w:rFonts w:ascii="Calibri" w:eastAsia="Times New Roman" w:hAnsi="Calibri" w:cs="Calibri"/>
          <w:b/>
          <w:bCs/>
          <w:color w:val="000000"/>
          <w:kern w:val="0"/>
          <w:lang w:val="et-EE"/>
          <w14:ligatures w14:val="none"/>
        </w:rPr>
        <w:t>3. Sihistatud strateegia ja turundus</w:t>
      </w:r>
    </w:p>
    <w:p w14:paraId="42F4FCC4" w14:textId="77777777" w:rsidR="00F419D5" w:rsidRPr="00F419D5" w:rsidRDefault="00F419D5" w:rsidP="00F419D5">
      <w:pPr>
        <w:spacing w:after="5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Kõrgema lisandväärtusega külastajate Eestisse toomine eeldab järjepidevat sihistatud turundust prioriteetsetel turgudel. Geopoliitilised pinged on tõstnud nõudluse Eesti kui turvalise sihtkoha kuvandi süsteemse hoidmise järele veelgi kõrgemale. </w:t>
      </w:r>
    </w:p>
    <w:p w14:paraId="4B91C292" w14:textId="2E64DFB5"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3.1. </w:t>
      </w:r>
      <w:r w:rsidR="00F419D5" w:rsidRPr="00F419D5">
        <w:rPr>
          <w:rFonts w:ascii="Calibri" w:eastAsia="Times New Roman" w:hAnsi="Calibri" w:cs="Calibri"/>
          <w:b/>
          <w:bCs/>
          <w:color w:val="000000"/>
          <w:kern w:val="0"/>
          <w:sz w:val="20"/>
          <w:szCs w:val="20"/>
          <w:lang w:val="et-EE"/>
          <w14:ligatures w14:val="none"/>
        </w:rPr>
        <w:t>Jätkata rahvusvaheliste konverentside ja sündmuste toetusmeedet (RSK) stabiilse rahastusega.</w:t>
      </w:r>
    </w:p>
    <w:p w14:paraId="31E22CF0" w14:textId="68524AAE"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Perioodil 2023–2026 on meetmest toetatud 48 konverentsi (majanduslik mõju 16,4 mln €) ja 39 sündmust (majanduslik mõju 39,8 mln €). Konverentside ja suursündmuste maaletoomine on otsene viis kõrgema lisandväärtusega külastajate Eestisse toomiseks ning hooajalisuse tasandamiseks.</w:t>
      </w:r>
    </w:p>
    <w:p w14:paraId="4CE2BB1E" w14:textId="7811F6E0"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3.2. </w:t>
      </w:r>
      <w:r w:rsidR="00F419D5" w:rsidRPr="00F419D5">
        <w:rPr>
          <w:rFonts w:ascii="Calibri" w:eastAsia="Times New Roman" w:hAnsi="Calibri" w:cs="Calibri"/>
          <w:b/>
          <w:bCs/>
          <w:color w:val="000000"/>
          <w:kern w:val="0"/>
          <w:sz w:val="20"/>
          <w:szCs w:val="20"/>
          <w:lang w:val="et-EE"/>
          <w14:ligatures w14:val="none"/>
        </w:rPr>
        <w:t>Suurendada Visit Estonia rahastustust ja sihistatud turundustegevus prioriteetsetel lähteturgudel.</w:t>
      </w:r>
    </w:p>
    <w:p w14:paraId="31315620"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Suurendada Visit Estonia turunduse rahastust vähemalt 20%, sest rahvusvaheline konkurents ning geopoliitiline asukoht nõuavad suuremat panustamist turundusse. </w:t>
      </w:r>
    </w:p>
    <w:p w14:paraId="4CC1D680" w14:textId="540BBE73"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3.3. </w:t>
      </w:r>
      <w:r w:rsidR="00F419D5" w:rsidRPr="00F419D5">
        <w:rPr>
          <w:rFonts w:ascii="Calibri" w:eastAsia="Times New Roman" w:hAnsi="Calibri" w:cs="Calibri"/>
          <w:b/>
          <w:bCs/>
          <w:color w:val="000000"/>
          <w:kern w:val="0"/>
          <w:sz w:val="20"/>
          <w:szCs w:val="20"/>
          <w:lang w:val="et-EE"/>
          <w14:ligatures w14:val="none"/>
        </w:rPr>
        <w:t>Lisada terviseturism riiklikusse turismistrateegiasse </w:t>
      </w:r>
    </w:p>
    <w:p w14:paraId="434ED447"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Säilitada Turismistrateegia neli kõrge potentsiaaliga fookusvaldkonda — kultuuri-, toidu-, loodus- ja äriturism — ning lisada terviseturism, mille mõju Eesti turismitulule on jätkuvalt oluline. Strateegia peab koordineerima tervishoiu, spaa, taastusravi-, majutus- ja rahvusvahelise turunduse arengut ning tuginema andmepõhisele turuprognoosile, et lähiaastate märkimisväärsed investeeringud spaa- ja terviseturismi objektidesse oleksid tasuvad. </w:t>
      </w:r>
    </w:p>
    <w:p w14:paraId="42327139" w14:textId="027D08AA"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3.4. </w:t>
      </w:r>
      <w:r w:rsidR="00F419D5" w:rsidRPr="00F419D5">
        <w:rPr>
          <w:rFonts w:ascii="Calibri" w:eastAsia="Times New Roman" w:hAnsi="Calibri" w:cs="Calibri"/>
          <w:b/>
          <w:bCs/>
          <w:color w:val="000000"/>
          <w:kern w:val="0"/>
          <w:sz w:val="20"/>
          <w:szCs w:val="20"/>
          <w:lang w:val="et-EE"/>
          <w14:ligatures w14:val="none"/>
        </w:rPr>
        <w:t>Luua riiklikult koordineeritud kriisikommunikatsiooni süsteem rahvusvahelistele külastajatele.</w:t>
      </w:r>
    </w:p>
    <w:p w14:paraId="242E71D9"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Mitmekeelsed hoiatussõnumid, selged tegevusjuhised kriisiolukordadeks ning kompensatsioonimehhanism reisikorraldajatele rahvusvaheliste kriiside mõjude (nt Lähis-Ida) leevendamiseks. </w:t>
      </w:r>
    </w:p>
    <w:p w14:paraId="24D25904" w14:textId="77777777" w:rsidR="00F419D5" w:rsidRPr="00F419D5" w:rsidRDefault="00F419D5" w:rsidP="00F419D5">
      <w:pPr>
        <w:spacing w:before="160" w:after="60" w:line="240" w:lineRule="auto"/>
        <w:outlineLvl w:val="1"/>
        <w:rPr>
          <w:rFonts w:ascii="Times New Roman" w:eastAsia="Times New Roman" w:hAnsi="Times New Roman" w:cs="Times New Roman"/>
          <w:b/>
          <w:bCs/>
          <w:kern w:val="0"/>
          <w:sz w:val="36"/>
          <w:szCs w:val="36"/>
          <w:lang w:val="et-EE"/>
          <w14:ligatures w14:val="none"/>
        </w:rPr>
      </w:pPr>
      <w:r w:rsidRPr="00F419D5">
        <w:rPr>
          <w:rFonts w:ascii="Calibri" w:eastAsia="Times New Roman" w:hAnsi="Calibri" w:cs="Calibri"/>
          <w:b/>
          <w:bCs/>
          <w:color w:val="000000"/>
          <w:kern w:val="0"/>
          <w:lang w:val="et-EE"/>
          <w14:ligatures w14:val="none"/>
        </w:rPr>
        <w:t>4. Rahvusvahelised ühendused</w:t>
      </w:r>
    </w:p>
    <w:p w14:paraId="34ADB75C" w14:textId="77777777" w:rsidR="00F419D5" w:rsidRPr="00F419D5" w:rsidRDefault="00F419D5" w:rsidP="00F419D5">
      <w:pPr>
        <w:spacing w:after="5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Rahvusvahelised ühendused — eeskätt lennuühendused — on kriitilise tähtsusega Eesti majanduse, ekspordi, turismi ning riigi rahvusvahelise nähtavuse jaoks. Euroopa äärealal asuva väikeriigina sõltub Eesti otseselt sellest, kas ja kui tihedalt oleme ühendatud peamiste sihtturgude ja rahvusvaheliste sõlmpunktidega. Otselennud, nende sihtkohtade arv ja lennugraafikute sagedus määravad, kas turistid ja ärireisijad Põhjamaadest, Suurbritanniast, Saksamaalt ja teistelt võtmeturgudelt jõuavad Eestisse.</w:t>
      </w:r>
    </w:p>
    <w:p w14:paraId="07601426" w14:textId="757307E9"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4.1. </w:t>
      </w:r>
      <w:r w:rsidR="00F419D5" w:rsidRPr="00F419D5">
        <w:rPr>
          <w:rFonts w:ascii="Calibri" w:eastAsia="Times New Roman" w:hAnsi="Calibri" w:cs="Calibri"/>
          <w:b/>
          <w:bCs/>
          <w:color w:val="000000"/>
          <w:kern w:val="0"/>
          <w:sz w:val="20"/>
          <w:szCs w:val="20"/>
          <w:lang w:val="et-EE"/>
          <w14:ligatures w14:val="none"/>
        </w:rPr>
        <w:t>Jätkata EISi liinifondi tegevusi ja suurendada fondi mahtu uute lennuliinide avamise ja välisturistide Eestisse toomise toetamiseks. </w:t>
      </w:r>
    </w:p>
    <w:p w14:paraId="0BF1B379"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Fond toetab uute lennuliinide avamist ja välisturistide Eestisse toomist. Kuna lennufirmade liini-otsused tehakse mitmes konkureerivas pealinnas paralleelselt, vajab Eesti püsivat ja piisava mahuga fondi, mitte ühekordseid toetusi.</w:t>
      </w:r>
    </w:p>
    <w:p w14:paraId="5A32BB9A" w14:textId="23AC7D33" w:rsidR="00295CE7"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4.2. </w:t>
      </w:r>
      <w:r w:rsidR="00295CE7" w:rsidRPr="00295CE7">
        <w:rPr>
          <w:rFonts w:ascii="Calibri" w:eastAsia="Times New Roman" w:hAnsi="Calibri" w:cs="Calibri"/>
          <w:b/>
          <w:bCs/>
          <w:color w:val="000000"/>
          <w:kern w:val="0"/>
          <w:sz w:val="20"/>
          <w:szCs w:val="20"/>
          <w:lang w:val="et-EE"/>
          <w14:ligatures w14:val="none"/>
        </w:rPr>
        <w:t>Suunata lennujaama kasum lennuühenduste arendamiseks ja tagada Tallinna lennujaama julgestustoetuse jätkumine riigieelarvest, et hoida Tallinna lennujaama tasud rahvusvaheliselt konkurentsivõimelised.</w:t>
      </w:r>
    </w:p>
    <w:p w14:paraId="6AACDF88" w14:textId="211AF40A"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4.3.</w:t>
      </w:r>
      <w:r w:rsidR="00F419D5" w:rsidRPr="00F419D5">
        <w:rPr>
          <w:rFonts w:ascii="Calibri" w:eastAsia="Times New Roman" w:hAnsi="Calibri" w:cs="Calibri"/>
          <w:b/>
          <w:bCs/>
          <w:color w:val="000000"/>
          <w:kern w:val="0"/>
          <w:sz w:val="20"/>
          <w:szCs w:val="20"/>
          <w:lang w:val="et-EE"/>
          <w14:ligatures w14:val="none"/>
        </w:rPr>
        <w:t>Jätkata Tartu rahvusvaheliste lennuühenduste toetamist ning regionaalsete lennujaamade tegevuskulude katmist piirkondliku ettevõtluse ja turismi arendamiseks. </w:t>
      </w:r>
    </w:p>
    <w:p w14:paraId="05086596"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Regionaalsed lennujaamad on piirkondliku ettevõtluse ja turismi arendamise eeldus. Tartu rahvusvaheliste lennuühenduste ja regionaalsete lennujaamade (Kuressaare, Pärnu, Kärdla) toimimine vajab riigi järjepidevat tuge.</w:t>
      </w:r>
    </w:p>
    <w:p w14:paraId="2E2DE4AA" w14:textId="3AC115E3"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4.4. </w:t>
      </w:r>
      <w:r w:rsidR="00F419D5" w:rsidRPr="00F419D5">
        <w:rPr>
          <w:rFonts w:ascii="Calibri" w:eastAsia="Times New Roman" w:hAnsi="Calibri" w:cs="Calibri"/>
          <w:b/>
          <w:bCs/>
          <w:color w:val="000000"/>
          <w:kern w:val="0"/>
          <w:sz w:val="20"/>
          <w:szCs w:val="20"/>
          <w:lang w:val="et-EE"/>
          <w14:ligatures w14:val="none"/>
        </w:rPr>
        <w:t>Analüüsida avaliku teenindamise lepingute (PSO, liinihanked) võimalikkust strateegiliselt olulistel lennusuundadel, kus turupõhised ühendused ei ole piisavad. </w:t>
      </w:r>
    </w:p>
    <w:p w14:paraId="31AA17F0" w14:textId="77777777" w:rsidR="00F419D5" w:rsidRPr="00F419D5" w:rsidRDefault="00F419D5" w:rsidP="00F419D5">
      <w:pPr>
        <w:spacing w:before="60" w:after="15" w:line="240" w:lineRule="auto"/>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Kaardistada strateegilised lennusuunad, kus turupõhised ühendused ei taga piisavat sagedust, stabiilsust või aastaringset teenust, ning vajadusel rakendada avaliku teenindamise lepinguid (PSO/liinihanked) selgete majandus- ja turismimõjude alusel. </w:t>
      </w:r>
    </w:p>
    <w:p w14:paraId="65652548" w14:textId="77777777" w:rsidR="00F419D5" w:rsidRPr="00F419D5" w:rsidRDefault="00F419D5" w:rsidP="00F419D5">
      <w:pPr>
        <w:spacing w:before="160" w:after="60" w:line="240" w:lineRule="auto"/>
        <w:outlineLvl w:val="1"/>
        <w:rPr>
          <w:rFonts w:ascii="Times New Roman" w:eastAsia="Times New Roman" w:hAnsi="Times New Roman" w:cs="Times New Roman"/>
          <w:b/>
          <w:bCs/>
          <w:kern w:val="0"/>
          <w:sz w:val="36"/>
          <w:szCs w:val="36"/>
          <w:lang w:val="et-EE"/>
          <w14:ligatures w14:val="none"/>
        </w:rPr>
      </w:pPr>
      <w:r w:rsidRPr="00F419D5">
        <w:rPr>
          <w:rFonts w:ascii="Calibri" w:eastAsia="Times New Roman" w:hAnsi="Calibri" w:cs="Calibri"/>
          <w:b/>
          <w:bCs/>
          <w:color w:val="000000"/>
          <w:kern w:val="0"/>
          <w:lang w:val="et-EE"/>
          <w14:ligatures w14:val="none"/>
        </w:rPr>
        <w:lastRenderedPageBreak/>
        <w:t>5. Tartistu ja siseriiklik transport</w:t>
      </w:r>
    </w:p>
    <w:p w14:paraId="745425DA" w14:textId="4323F96C"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5.1. </w:t>
      </w:r>
      <w:r w:rsidR="00F419D5" w:rsidRPr="00F419D5">
        <w:rPr>
          <w:rFonts w:ascii="Calibri" w:eastAsia="Times New Roman" w:hAnsi="Calibri" w:cs="Calibri"/>
          <w:b/>
          <w:bCs/>
          <w:color w:val="000000"/>
          <w:kern w:val="0"/>
          <w:sz w:val="20"/>
          <w:szCs w:val="20"/>
          <w:lang w:val="et-EE"/>
          <w14:ligatures w14:val="none"/>
        </w:rPr>
        <w:t>Tagada riiklik kaasfinantseering multifunktsionaalse konverentsi- ja sündmuskeskuse rajamiseks Tallinnasse.</w:t>
      </w:r>
    </w:p>
    <w:p w14:paraId="5B3D0F35"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MKM-i ja EIS-i tasuvusanalüüside põhjal annab keskus juba esimese 10 aastaga otsest maksutulu 68 miljonit eurot, loob ~500 püsivat töökohta ja 12–18 miljonit eurot aastast lisandväärtust. Rajamine on võimalik era- ja avaliku sektori koostöös, kuid eeldab riikliku kaasfinantseeringu kindlustamist. Kavandatav suurhall, mida igati toetame, ei asenda kaasaegset konverentsikeskust.</w:t>
      </w:r>
    </w:p>
    <w:p w14:paraId="507D5D90" w14:textId="3B8DB695"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5.2. </w:t>
      </w:r>
      <w:r w:rsidR="00F419D5" w:rsidRPr="00F419D5">
        <w:rPr>
          <w:rFonts w:ascii="Calibri" w:eastAsia="Times New Roman" w:hAnsi="Calibri" w:cs="Calibri"/>
          <w:b/>
          <w:bCs/>
          <w:color w:val="000000"/>
          <w:kern w:val="0"/>
          <w:sz w:val="20"/>
          <w:szCs w:val="20"/>
          <w:lang w:val="et-EE"/>
          <w14:ligatures w14:val="none"/>
        </w:rPr>
        <w:t>Tagada maapiirkondade ligipääsetavus.</w:t>
      </w:r>
    </w:p>
    <w:p w14:paraId="747B3A12"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Konkurentsivõimeline maaturism eeldab korras teid, toimivat ühistransporti, väikesadamate vastuvõtuvõimekust ning turvalist juurdepääsu külastusobjektidele. </w:t>
      </w:r>
    </w:p>
    <w:p w14:paraId="366FBFCC" w14:textId="30E47812" w:rsidR="00F419D5" w:rsidRPr="00F419D5" w:rsidRDefault="00C9411F" w:rsidP="00F419D5">
      <w:pPr>
        <w:spacing w:before="60" w:after="15" w:line="240" w:lineRule="auto"/>
        <w:rPr>
          <w:rFonts w:ascii="Times New Roman" w:eastAsia="Times New Roman" w:hAnsi="Times New Roman" w:cs="Times New Roman"/>
          <w:kern w:val="0"/>
          <w:lang w:val="et-EE"/>
          <w14:ligatures w14:val="none"/>
        </w:rPr>
      </w:pPr>
      <w:r>
        <w:rPr>
          <w:rFonts w:ascii="Calibri" w:eastAsia="Times New Roman" w:hAnsi="Calibri" w:cs="Calibri"/>
          <w:b/>
          <w:bCs/>
          <w:color w:val="000000"/>
          <w:kern w:val="0"/>
          <w:sz w:val="20"/>
          <w:szCs w:val="20"/>
          <w:lang w:val="et-EE"/>
          <w14:ligatures w14:val="none"/>
        </w:rPr>
        <w:t xml:space="preserve">5.3. </w:t>
      </w:r>
      <w:r w:rsidR="00F419D5" w:rsidRPr="00F419D5">
        <w:rPr>
          <w:rFonts w:ascii="Calibri" w:eastAsia="Times New Roman" w:hAnsi="Calibri" w:cs="Calibri"/>
          <w:b/>
          <w:bCs/>
          <w:color w:val="000000"/>
          <w:kern w:val="0"/>
          <w:sz w:val="20"/>
          <w:szCs w:val="20"/>
          <w:lang w:val="et-EE"/>
          <w14:ligatures w14:val="none"/>
        </w:rPr>
        <w:t>Luua riiklik fond turismiobjektide kaasajastamiseks ja rajamiseks.</w:t>
      </w:r>
    </w:p>
    <w:p w14:paraId="781DC74D" w14:textId="77777777" w:rsidR="00F419D5" w:rsidRPr="00F419D5" w:rsidRDefault="00F419D5" w:rsidP="00F419D5">
      <w:pPr>
        <w:spacing w:after="40" w:line="240" w:lineRule="auto"/>
        <w:jc w:val="both"/>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Eesti turismiobjektide võrgustik — muuseumid, külastuskeskused ja muud kultuuri või loodusega seotud sihtkohad — vajavad nii kaasajastamist kui täiendamist nii regioonides kui linnades. Sellised objektid ei tasu äriliste investeeringutena ennast ära ja operaatorite omaosalus ei saa olla suur, kuid pärast investeeringut peaksid need olema isemajandavad. Fond, millest saab taotleda vahendeid kaasajastamiseks ja uute objektide rajamiseks, parandaks Eesti turismitoodete kvaliteeti ja kasvataks külastajate arvu ka väljaspool peamisi tõmbekeskusi.</w:t>
      </w:r>
    </w:p>
    <w:p w14:paraId="2973DF24" w14:textId="77777777" w:rsidR="00F419D5" w:rsidRPr="00F419D5" w:rsidRDefault="00F419D5" w:rsidP="00F419D5">
      <w:pPr>
        <w:pBdr>
          <w:top w:val="single" w:sz="6" w:space="6" w:color="999999"/>
        </w:pBdr>
        <w:spacing w:before="160" w:after="60" w:line="240" w:lineRule="auto"/>
        <w:rPr>
          <w:rFonts w:ascii="Times New Roman" w:eastAsia="Times New Roman" w:hAnsi="Times New Roman" w:cs="Times New Roman"/>
          <w:kern w:val="0"/>
          <w:lang w:val="et-EE"/>
          <w14:ligatures w14:val="none"/>
        </w:rPr>
      </w:pPr>
      <w:r w:rsidRPr="00F419D5">
        <w:rPr>
          <w:rFonts w:ascii="Calibri" w:eastAsia="Times New Roman" w:hAnsi="Calibri" w:cs="Calibri"/>
          <w:b/>
          <w:bCs/>
          <w:color w:val="000000"/>
          <w:kern w:val="0"/>
          <w:sz w:val="22"/>
          <w:szCs w:val="22"/>
          <w:lang w:val="et-EE"/>
          <w14:ligatures w14:val="none"/>
        </w:rPr>
        <w:t>Ettepanekutele on allakirjutanud</w:t>
      </w:r>
    </w:p>
    <w:p w14:paraId="5D443FD1" w14:textId="77777777" w:rsidR="00F419D5" w:rsidRPr="00F419D5" w:rsidRDefault="00F419D5" w:rsidP="00F419D5">
      <w:pPr>
        <w:spacing w:after="0" w:line="240" w:lineRule="auto"/>
        <w:rPr>
          <w:rFonts w:ascii="Times New Roman" w:eastAsia="Times New Roman" w:hAnsi="Times New Roman" w:cs="Times New Roman"/>
          <w:kern w:val="0"/>
          <w:lang w:val="et-EE"/>
          <w14:ligatures w14:val="none"/>
        </w:rPr>
      </w:pPr>
      <w:r w:rsidRPr="00F419D5">
        <w:rPr>
          <w:rFonts w:ascii="Calibri" w:eastAsia="Times New Roman" w:hAnsi="Calibri" w:cs="Calibri"/>
          <w:color w:val="000000"/>
          <w:kern w:val="0"/>
          <w:sz w:val="20"/>
          <w:szCs w:val="20"/>
          <w:lang w:val="et-EE"/>
          <w14:ligatures w14:val="none"/>
        </w:rPr>
        <w:t>Eesti Hotellide ja Restoranide Liit (EHRL) · Eesti Konverentsibüroo (EKB) · Eesti Turismifirmade Liit (ETFL) · Eesti Spaaliit · MTÜ Eesti Maaturism · Eesti Suuratraktsioonide Liit · AS Tallinna Lennujaam · AS Tallinna Sadam</w:t>
      </w:r>
    </w:p>
    <w:p w14:paraId="464680A9" w14:textId="77777777" w:rsidR="00F419D5" w:rsidRPr="00F419D5" w:rsidRDefault="00F419D5">
      <w:pPr>
        <w:rPr>
          <w:lang w:val="et-EE"/>
        </w:rPr>
      </w:pPr>
    </w:p>
    <w:sectPr w:rsidR="00F419D5" w:rsidRPr="00F419D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5513" w14:textId="77777777" w:rsidR="00EB3993" w:rsidRDefault="00EB3993" w:rsidP="00FE092A">
      <w:pPr>
        <w:spacing w:after="0" w:line="240" w:lineRule="auto"/>
      </w:pPr>
      <w:r>
        <w:separator/>
      </w:r>
    </w:p>
  </w:endnote>
  <w:endnote w:type="continuationSeparator" w:id="0">
    <w:p w14:paraId="560E8535" w14:textId="77777777" w:rsidR="00EB3993" w:rsidRDefault="00EB3993" w:rsidP="00FE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F84E" w14:textId="77777777" w:rsidR="00EB3993" w:rsidRDefault="00EB3993" w:rsidP="00FE092A">
      <w:pPr>
        <w:spacing w:after="0" w:line="240" w:lineRule="auto"/>
      </w:pPr>
      <w:r>
        <w:separator/>
      </w:r>
    </w:p>
  </w:footnote>
  <w:footnote w:type="continuationSeparator" w:id="0">
    <w:p w14:paraId="63506192" w14:textId="77777777" w:rsidR="00EB3993" w:rsidRDefault="00EB3993" w:rsidP="00FE092A">
      <w:pPr>
        <w:spacing w:after="0" w:line="240" w:lineRule="auto"/>
      </w:pPr>
      <w:r>
        <w:continuationSeparator/>
      </w:r>
    </w:p>
  </w:footnote>
  <w:footnote w:id="1">
    <w:p w14:paraId="02B1580A" w14:textId="697F7CAB" w:rsidR="00FE092A" w:rsidRPr="00FE092A" w:rsidRDefault="00FE092A">
      <w:pPr>
        <w:pStyle w:val="FootnoteText"/>
        <w:rPr>
          <w:lang w:val="et-EE"/>
        </w:rPr>
      </w:pPr>
      <w:r>
        <w:rPr>
          <w:rStyle w:val="FootnoteReference"/>
        </w:rPr>
        <w:footnoteRef/>
      </w:r>
      <w:r>
        <w:t xml:space="preserve"> </w:t>
      </w:r>
      <w:r w:rsidRPr="00FE092A">
        <w:rPr>
          <w:sz w:val="16"/>
          <w:szCs w:val="16"/>
          <w:lang w:val="et-EE"/>
        </w:rPr>
        <w:t xml:space="preserve">Allikas: </w:t>
      </w:r>
      <w:hyperlink r:id="rId1" w:history="1">
        <w:r w:rsidRPr="00FE092A">
          <w:rPr>
            <w:rStyle w:val="Hyperlink"/>
            <w:sz w:val="16"/>
            <w:szCs w:val="16"/>
            <w:lang w:val="et-EE"/>
          </w:rPr>
          <w:t>MKM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A7AC1"/>
    <w:multiLevelType w:val="multilevel"/>
    <w:tmpl w:val="2F5ADD38"/>
    <w:lvl w:ilvl="0">
      <w:start w:val="1"/>
      <w:numFmt w:val="decimal"/>
      <w:lvlText w:val="%1."/>
      <w:lvlJc w:val="left"/>
      <w:pPr>
        <w:ind w:left="360" w:hanging="360"/>
      </w:pPr>
      <w:rPr>
        <w:rFonts w:ascii="Calibri" w:hAnsi="Calibri" w:cs="Calibri" w:hint="default"/>
        <w:b/>
        <w:color w:val="000000"/>
        <w:sz w:val="20"/>
      </w:rPr>
    </w:lvl>
    <w:lvl w:ilvl="1">
      <w:start w:val="1"/>
      <w:numFmt w:val="decimal"/>
      <w:lvlText w:val="%1.%2."/>
      <w:lvlJc w:val="left"/>
      <w:pPr>
        <w:ind w:left="360" w:hanging="360"/>
      </w:pPr>
      <w:rPr>
        <w:rFonts w:ascii="Calibri" w:hAnsi="Calibri" w:cs="Calibri" w:hint="default"/>
        <w:b/>
        <w:color w:val="000000"/>
        <w:sz w:val="20"/>
      </w:rPr>
    </w:lvl>
    <w:lvl w:ilvl="2">
      <w:start w:val="1"/>
      <w:numFmt w:val="decimal"/>
      <w:lvlText w:val="%1.%2.%3."/>
      <w:lvlJc w:val="left"/>
      <w:pPr>
        <w:ind w:left="720" w:hanging="720"/>
      </w:pPr>
      <w:rPr>
        <w:rFonts w:ascii="Calibri" w:hAnsi="Calibri" w:cs="Calibri" w:hint="default"/>
        <w:b/>
        <w:color w:val="000000"/>
        <w:sz w:val="20"/>
      </w:rPr>
    </w:lvl>
    <w:lvl w:ilvl="3">
      <w:start w:val="1"/>
      <w:numFmt w:val="decimal"/>
      <w:lvlText w:val="%1.%2.%3.%4."/>
      <w:lvlJc w:val="left"/>
      <w:pPr>
        <w:ind w:left="720" w:hanging="720"/>
      </w:pPr>
      <w:rPr>
        <w:rFonts w:ascii="Calibri" w:hAnsi="Calibri" w:cs="Calibri" w:hint="default"/>
        <w:b/>
        <w:color w:val="000000"/>
        <w:sz w:val="20"/>
      </w:rPr>
    </w:lvl>
    <w:lvl w:ilvl="4">
      <w:start w:val="1"/>
      <w:numFmt w:val="decimal"/>
      <w:lvlText w:val="%1.%2.%3.%4.%5."/>
      <w:lvlJc w:val="left"/>
      <w:pPr>
        <w:ind w:left="1080" w:hanging="1080"/>
      </w:pPr>
      <w:rPr>
        <w:rFonts w:ascii="Calibri" w:hAnsi="Calibri" w:cs="Calibri" w:hint="default"/>
        <w:b/>
        <w:color w:val="000000"/>
        <w:sz w:val="20"/>
      </w:rPr>
    </w:lvl>
    <w:lvl w:ilvl="5">
      <w:start w:val="1"/>
      <w:numFmt w:val="decimal"/>
      <w:lvlText w:val="%1.%2.%3.%4.%5.%6."/>
      <w:lvlJc w:val="left"/>
      <w:pPr>
        <w:ind w:left="1080" w:hanging="1080"/>
      </w:pPr>
      <w:rPr>
        <w:rFonts w:ascii="Calibri" w:hAnsi="Calibri" w:cs="Calibri" w:hint="default"/>
        <w:b/>
        <w:color w:val="000000"/>
        <w:sz w:val="20"/>
      </w:rPr>
    </w:lvl>
    <w:lvl w:ilvl="6">
      <w:start w:val="1"/>
      <w:numFmt w:val="decimal"/>
      <w:lvlText w:val="%1.%2.%3.%4.%5.%6.%7."/>
      <w:lvlJc w:val="left"/>
      <w:pPr>
        <w:ind w:left="1440" w:hanging="1440"/>
      </w:pPr>
      <w:rPr>
        <w:rFonts w:ascii="Calibri" w:hAnsi="Calibri" w:cs="Calibri" w:hint="default"/>
        <w:b/>
        <w:color w:val="000000"/>
        <w:sz w:val="20"/>
      </w:rPr>
    </w:lvl>
    <w:lvl w:ilvl="7">
      <w:start w:val="1"/>
      <w:numFmt w:val="decimal"/>
      <w:lvlText w:val="%1.%2.%3.%4.%5.%6.%7.%8."/>
      <w:lvlJc w:val="left"/>
      <w:pPr>
        <w:ind w:left="1440" w:hanging="1440"/>
      </w:pPr>
      <w:rPr>
        <w:rFonts w:ascii="Calibri" w:hAnsi="Calibri" w:cs="Calibri" w:hint="default"/>
        <w:b/>
        <w:color w:val="000000"/>
        <w:sz w:val="20"/>
      </w:rPr>
    </w:lvl>
    <w:lvl w:ilvl="8">
      <w:start w:val="1"/>
      <w:numFmt w:val="decimal"/>
      <w:lvlText w:val="%1.%2.%3.%4.%5.%6.%7.%8.%9."/>
      <w:lvlJc w:val="left"/>
      <w:pPr>
        <w:ind w:left="1800" w:hanging="1800"/>
      </w:pPr>
      <w:rPr>
        <w:rFonts w:ascii="Calibri" w:hAnsi="Calibri" w:cs="Calibri" w:hint="default"/>
        <w:b/>
        <w:color w:val="000000"/>
        <w:sz w:val="20"/>
      </w:rPr>
    </w:lvl>
  </w:abstractNum>
  <w:num w:numId="1" w16cid:durableId="39316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D5"/>
    <w:rsid w:val="0000777C"/>
    <w:rsid w:val="000C4120"/>
    <w:rsid w:val="0010374F"/>
    <w:rsid w:val="001D0802"/>
    <w:rsid w:val="00295CE7"/>
    <w:rsid w:val="002C7C60"/>
    <w:rsid w:val="00384134"/>
    <w:rsid w:val="00417EA8"/>
    <w:rsid w:val="004A614F"/>
    <w:rsid w:val="00521B15"/>
    <w:rsid w:val="006446B6"/>
    <w:rsid w:val="006572ED"/>
    <w:rsid w:val="00740D14"/>
    <w:rsid w:val="00743AE5"/>
    <w:rsid w:val="00776A77"/>
    <w:rsid w:val="0077761B"/>
    <w:rsid w:val="00780981"/>
    <w:rsid w:val="00884BDD"/>
    <w:rsid w:val="008C1E04"/>
    <w:rsid w:val="0090541E"/>
    <w:rsid w:val="00917F7B"/>
    <w:rsid w:val="00BD4CBE"/>
    <w:rsid w:val="00C01322"/>
    <w:rsid w:val="00C06403"/>
    <w:rsid w:val="00C408A7"/>
    <w:rsid w:val="00C6472A"/>
    <w:rsid w:val="00C9411F"/>
    <w:rsid w:val="00D62C12"/>
    <w:rsid w:val="00D818AB"/>
    <w:rsid w:val="00DD0B46"/>
    <w:rsid w:val="00E40713"/>
    <w:rsid w:val="00EB3993"/>
    <w:rsid w:val="00EF4434"/>
    <w:rsid w:val="00F419D5"/>
    <w:rsid w:val="00FE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0DF6"/>
  <w15:chartTrackingRefBased/>
  <w15:docId w15:val="{21992948-6DE8-410F-8461-B0E37101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9D5"/>
    <w:rPr>
      <w:rFonts w:eastAsiaTheme="majorEastAsia" w:cstheme="majorBidi"/>
      <w:color w:val="272727" w:themeColor="text1" w:themeTint="D8"/>
    </w:rPr>
  </w:style>
  <w:style w:type="paragraph" w:styleId="Title">
    <w:name w:val="Title"/>
    <w:basedOn w:val="Normal"/>
    <w:next w:val="Normal"/>
    <w:link w:val="TitleChar"/>
    <w:uiPriority w:val="10"/>
    <w:qFormat/>
    <w:rsid w:val="00F4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9D5"/>
    <w:pPr>
      <w:spacing w:before="160"/>
      <w:jc w:val="center"/>
    </w:pPr>
    <w:rPr>
      <w:i/>
      <w:iCs/>
      <w:color w:val="404040" w:themeColor="text1" w:themeTint="BF"/>
    </w:rPr>
  </w:style>
  <w:style w:type="character" w:customStyle="1" w:styleId="QuoteChar">
    <w:name w:val="Quote Char"/>
    <w:basedOn w:val="DefaultParagraphFont"/>
    <w:link w:val="Quote"/>
    <w:uiPriority w:val="29"/>
    <w:rsid w:val="00F419D5"/>
    <w:rPr>
      <w:i/>
      <w:iCs/>
      <w:color w:val="404040" w:themeColor="text1" w:themeTint="BF"/>
    </w:rPr>
  </w:style>
  <w:style w:type="paragraph" w:styleId="ListParagraph">
    <w:name w:val="List Paragraph"/>
    <w:basedOn w:val="Normal"/>
    <w:uiPriority w:val="34"/>
    <w:qFormat/>
    <w:rsid w:val="00F419D5"/>
    <w:pPr>
      <w:ind w:left="720"/>
      <w:contextualSpacing/>
    </w:pPr>
  </w:style>
  <w:style w:type="character" w:styleId="IntenseEmphasis">
    <w:name w:val="Intense Emphasis"/>
    <w:basedOn w:val="DefaultParagraphFont"/>
    <w:uiPriority w:val="21"/>
    <w:qFormat/>
    <w:rsid w:val="00F419D5"/>
    <w:rPr>
      <w:i/>
      <w:iCs/>
      <w:color w:val="2F5496" w:themeColor="accent1" w:themeShade="BF"/>
    </w:rPr>
  </w:style>
  <w:style w:type="paragraph" w:styleId="IntenseQuote">
    <w:name w:val="Intense Quote"/>
    <w:basedOn w:val="Normal"/>
    <w:next w:val="Normal"/>
    <w:link w:val="IntenseQuoteChar"/>
    <w:uiPriority w:val="30"/>
    <w:qFormat/>
    <w:rsid w:val="00F41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9D5"/>
    <w:rPr>
      <w:i/>
      <w:iCs/>
      <w:color w:val="2F5496" w:themeColor="accent1" w:themeShade="BF"/>
    </w:rPr>
  </w:style>
  <w:style w:type="character" w:styleId="IntenseReference">
    <w:name w:val="Intense Reference"/>
    <w:basedOn w:val="DefaultParagraphFont"/>
    <w:uiPriority w:val="32"/>
    <w:qFormat/>
    <w:rsid w:val="00F419D5"/>
    <w:rPr>
      <w:b/>
      <w:bCs/>
      <w:smallCaps/>
      <w:color w:val="2F5496" w:themeColor="accent1" w:themeShade="BF"/>
      <w:spacing w:val="5"/>
    </w:rPr>
  </w:style>
  <w:style w:type="paragraph" w:styleId="Revision">
    <w:name w:val="Revision"/>
    <w:hidden/>
    <w:uiPriority w:val="99"/>
    <w:semiHidden/>
    <w:rsid w:val="00F419D5"/>
    <w:pPr>
      <w:spacing w:after="0" w:line="240" w:lineRule="auto"/>
    </w:pPr>
  </w:style>
  <w:style w:type="paragraph" w:styleId="FootnoteText">
    <w:name w:val="footnote text"/>
    <w:basedOn w:val="Normal"/>
    <w:link w:val="FootnoteTextChar"/>
    <w:uiPriority w:val="99"/>
    <w:semiHidden/>
    <w:unhideWhenUsed/>
    <w:rsid w:val="00FE09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92A"/>
    <w:rPr>
      <w:sz w:val="20"/>
      <w:szCs w:val="20"/>
    </w:rPr>
  </w:style>
  <w:style w:type="character" w:styleId="FootnoteReference">
    <w:name w:val="footnote reference"/>
    <w:basedOn w:val="DefaultParagraphFont"/>
    <w:uiPriority w:val="99"/>
    <w:semiHidden/>
    <w:unhideWhenUsed/>
    <w:rsid w:val="00FE092A"/>
    <w:rPr>
      <w:vertAlign w:val="superscript"/>
    </w:rPr>
  </w:style>
  <w:style w:type="character" w:styleId="Hyperlink">
    <w:name w:val="Hyperlink"/>
    <w:basedOn w:val="DefaultParagraphFont"/>
    <w:uiPriority w:val="99"/>
    <w:unhideWhenUsed/>
    <w:rsid w:val="00FE092A"/>
    <w:rPr>
      <w:color w:val="0563C1" w:themeColor="hyperlink"/>
      <w:u w:val="single"/>
    </w:rPr>
  </w:style>
  <w:style w:type="character" w:styleId="UnresolvedMention">
    <w:name w:val="Unresolved Mention"/>
    <w:basedOn w:val="DefaultParagraphFont"/>
    <w:uiPriority w:val="99"/>
    <w:semiHidden/>
    <w:unhideWhenUsed/>
    <w:rsid w:val="00FE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ublic.tableau.com/views/Majandusylevaade/Turism?%3Aembed=y&amp;%3AshowVizHome=no&amp;%3Adisplay_count=no&amp;publish=yes&amp;%3Atabs=no&amp;languag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968B68442BE5429E17AF5C5F4FBBDE" ma:contentTypeVersion="19" ma:contentTypeDescription="Create a new document." ma:contentTypeScope="" ma:versionID="8a3e9a0e36ca860c490ac489ba896406">
  <xsd:schema xmlns:xsd="http://www.w3.org/2001/XMLSchema" xmlns:xs="http://www.w3.org/2001/XMLSchema" xmlns:p="http://schemas.microsoft.com/office/2006/metadata/properties" xmlns:ns2="10d63b93-ec7b-4eac-a968-7cf6e62b7e78" xmlns:ns3="b6c45d83-1d45-4868-81d4-7b926fdaead0" targetNamespace="http://schemas.microsoft.com/office/2006/metadata/properties" ma:root="true" ma:fieldsID="164f723acec3320d41d42af87979273c" ns2:_="" ns3:_="">
    <xsd:import namespace="10d63b93-ec7b-4eac-a968-7cf6e62b7e78"/>
    <xsd:import namespace="b6c45d83-1d45-4868-81d4-7b926fdae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3b93-ec7b-4eac-a968-7cf6e62b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18ab6c-7d1d-4748-9a9c-6b19aa4b70cf"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45d83-1d45-4868-81d4-7b926fdaea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72a64e-9bc3-4544-8851-589758bac5d3}" ma:internalName="TaxCatchAll" ma:showField="CatchAllData" ma:web="b6c45d83-1d45-4868-81d4-7b926fdaea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c45d83-1d45-4868-81d4-7b926fdaead0" xsi:nil="true"/>
    <lcf76f155ced4ddcb4097134ff3c332f xmlns="10d63b93-ec7b-4eac-a968-7cf6e62b7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7EB45C-88C3-4AD5-BBA1-7EC698779C8E}">
  <ds:schemaRefs>
    <ds:schemaRef ds:uri="http://schemas.openxmlformats.org/officeDocument/2006/bibliography"/>
  </ds:schemaRefs>
</ds:datastoreItem>
</file>

<file path=customXml/itemProps2.xml><?xml version="1.0" encoding="utf-8"?>
<ds:datastoreItem xmlns:ds="http://schemas.openxmlformats.org/officeDocument/2006/customXml" ds:itemID="{5E3BC6E5-404C-495D-93D8-B51D2ADC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63b93-ec7b-4eac-a968-7cf6e62b7e78"/>
    <ds:schemaRef ds:uri="b6c45d83-1d45-4868-81d4-7b926fda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9A17-6729-4237-832F-A1C933451BBC}">
  <ds:schemaRefs>
    <ds:schemaRef ds:uri="http://schemas.microsoft.com/sharepoint/v3/contenttype/forms"/>
  </ds:schemaRefs>
</ds:datastoreItem>
</file>

<file path=customXml/itemProps4.xml><?xml version="1.0" encoding="utf-8"?>
<ds:datastoreItem xmlns:ds="http://schemas.openxmlformats.org/officeDocument/2006/customXml" ds:itemID="{F64CC085-C468-4C71-B294-1E8025A23339}">
  <ds:schemaRefs>
    <ds:schemaRef ds:uri="http://schemas.microsoft.com/office/2006/metadata/properties"/>
    <ds:schemaRef ds:uri="http://schemas.microsoft.com/office/infopath/2007/PartnerControls"/>
    <ds:schemaRef ds:uri="b6c45d83-1d45-4868-81d4-7b926fdaead0"/>
    <ds:schemaRef ds:uri="10d63b93-ec7b-4eac-a968-7cf6e62b7e7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Kraner</dc:creator>
  <cp:keywords/>
  <dc:description/>
  <cp:lastModifiedBy>Külli Kraner</cp:lastModifiedBy>
  <cp:revision>10</cp:revision>
  <dcterms:created xsi:type="dcterms:W3CDTF">2026-05-15T13:38:00Z</dcterms:created>
  <dcterms:modified xsi:type="dcterms:W3CDTF">2026-05-15T14:08:00Z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0x0101008D968B68442BE5429E17AF5C5F4FBBDE</vt:lpwstr>
  </property>
  <property fmtid="{D5CDD505-2E9C-101B-9397-08002B2CF9AE}" pid="3" name="MediaServiceImageTags">
    <vt:lpwstr/>
  </property>
</Properties>
</file>